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8.75pt;margin-top:0.9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台湾人旅游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“自由职业者”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个人信息表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2018-11-27T03:53:35Z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